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373" w:firstLineChars="116"/>
        <w:jc w:val="center"/>
        <w:textAlignment w:val="auto"/>
        <w:rPr>
          <w:rFonts w:hint="default" w:ascii="黑体" w:hAnsi="黑体" w:eastAsia="黑体" w:cs="黑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kern w:val="0"/>
          <w:sz w:val="32"/>
          <w:szCs w:val="32"/>
          <w:lang w:val="en-US" w:eastAsia="zh-CN"/>
        </w:rPr>
        <w:t>41</w:t>
      </w:r>
      <w:bookmarkStart w:id="0" w:name="_GoBack"/>
      <w:bookmarkEnd w:id="0"/>
      <w:r>
        <w:rPr>
          <w:rFonts w:hint="eastAsia" w:ascii="黑体" w:hAnsi="黑体" w:eastAsia="黑体" w:cs="黑体"/>
          <w:b/>
          <w:bCs/>
          <w:kern w:val="0"/>
          <w:sz w:val="32"/>
          <w:szCs w:val="32"/>
          <w:lang w:val="en-US" w:eastAsia="zh-CN"/>
        </w:rPr>
        <w:t>.可燃垃圾清洁高效热解气化联产技术与设备研究</w:t>
      </w:r>
    </w:p>
    <w:tbl>
      <w:tblPr>
        <w:tblStyle w:val="6"/>
        <w:tblW w:w="87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1425"/>
        <w:gridCol w:w="2065"/>
        <w:gridCol w:w="2558"/>
        <w:gridCol w:w="18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8745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/>
                <w:sz w:val="24"/>
                <w:u w:val="single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sz w:val="24"/>
              </w:rPr>
              <w:t>单位信息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" w:hRule="atLeast"/>
          <w:jc w:val="center"/>
        </w:trPr>
        <w:tc>
          <w:tcPr>
            <w:tcW w:w="223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单位名称</w:t>
            </w:r>
          </w:p>
        </w:tc>
        <w:tc>
          <w:tcPr>
            <w:tcW w:w="2065" w:type="dxa"/>
            <w:tcBorders>
              <w:left w:val="nil"/>
            </w:tcBorders>
            <w:noWrap w:val="0"/>
            <w:vAlign w:val="center"/>
          </w:tcPr>
          <w:p>
            <w:pPr>
              <w:rPr>
                <w:rFonts w:hint="default" w:ascii="Times New Roman" w:hAnsi="Times New Roman" w:eastAsia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kern w:val="0"/>
                <w:sz w:val="24"/>
                <w:lang w:val="en-US" w:eastAsia="zh-CN"/>
              </w:rPr>
              <w:t>礼泉匠心艾生物科技有限公司</w:t>
            </w:r>
          </w:p>
        </w:tc>
        <w:tc>
          <w:tcPr>
            <w:tcW w:w="2558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社会统一信用代码</w:t>
            </w:r>
          </w:p>
        </w:tc>
        <w:tc>
          <w:tcPr>
            <w:tcW w:w="1886" w:type="dxa"/>
            <w:tcBorders>
              <w:lef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/>
                <w:kern w:val="0"/>
                <w:sz w:val="24"/>
              </w:rPr>
              <w:t>91610425MA7MNF4U7F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6" w:type="dxa"/>
            <w:gridSpan w:val="2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所属行业</w:t>
            </w:r>
          </w:p>
        </w:tc>
        <w:tc>
          <w:tcPr>
            <w:tcW w:w="2065" w:type="dxa"/>
            <w:tcBorders>
              <w:left w:val="nil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  <w:t>制造业</w:t>
            </w:r>
          </w:p>
        </w:tc>
        <w:tc>
          <w:tcPr>
            <w:tcW w:w="2558" w:type="dxa"/>
            <w:tcBorders>
              <w:lef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  <w:t>技术领域</w:t>
            </w:r>
          </w:p>
        </w:tc>
        <w:tc>
          <w:tcPr>
            <w:tcW w:w="1886" w:type="dxa"/>
            <w:tcBorders>
              <w:left w:val="nil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 w:bidi="ar"/>
              </w:rPr>
              <w:t>资源与环境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45" w:type="dxa"/>
            <w:gridSpan w:val="5"/>
            <w:noWrap w:val="0"/>
            <w:vAlign w:val="top"/>
          </w:tcPr>
          <w:p>
            <w:pPr>
              <w:jc w:val="center"/>
              <w:rPr>
                <w:rFonts w:ascii="Times New Roman" w:hAnsi="Times New Roman" w:eastAsia="仿宋_GB2312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sz w:val="24"/>
              </w:rPr>
              <w:t>需求信息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atLeast"/>
          <w:jc w:val="center"/>
        </w:trPr>
        <w:tc>
          <w:tcPr>
            <w:tcW w:w="811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技术需求情况说明</w:t>
            </w:r>
          </w:p>
        </w:tc>
        <w:tc>
          <w:tcPr>
            <w:tcW w:w="1425" w:type="dxa"/>
            <w:tcBorders>
              <w:lef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需求</w:t>
            </w:r>
          </w:p>
          <w:p>
            <w:pPr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类别</w:t>
            </w:r>
          </w:p>
        </w:tc>
        <w:tc>
          <w:tcPr>
            <w:tcW w:w="6509" w:type="dxa"/>
            <w:gridSpan w:val="3"/>
            <w:tcBorders>
              <w:left w:val="nil"/>
            </w:tcBorders>
            <w:noWrap w:val="0"/>
            <w:vAlign w:val="center"/>
          </w:tcPr>
          <w:p>
            <w:pPr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sym w:font="Wingdings" w:char="00A8"/>
            </w:r>
            <w:r>
              <w:rPr>
                <w:rFonts w:hint="eastAsia" w:ascii="Times New Roman" w:hAnsi="Times New Roman" w:eastAsia="仿宋_GB2312" w:cs="仿宋_GB2312"/>
                <w:sz w:val="24"/>
              </w:rPr>
              <w:t>技术研发（关键、核心技术）</w:t>
            </w:r>
          </w:p>
          <w:p>
            <w:pPr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sym w:font="Wingdings" w:char="00FE"/>
            </w:r>
            <w:r>
              <w:rPr>
                <w:rFonts w:hint="eastAsia" w:ascii="Times New Roman" w:hAnsi="Times New Roman" w:eastAsia="仿宋_GB2312" w:cs="仿宋_GB2312"/>
                <w:sz w:val="24"/>
              </w:rPr>
              <w:t>产品研发（产品升级、新产品研发）</w:t>
            </w:r>
          </w:p>
          <w:p>
            <w:pPr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sym w:font="Wingdings" w:char="00A8"/>
            </w:r>
            <w:r>
              <w:rPr>
                <w:rFonts w:hint="eastAsia" w:ascii="Times New Roman" w:hAnsi="Times New Roman" w:eastAsia="仿宋_GB2312" w:cs="仿宋_GB2312"/>
                <w:sz w:val="24"/>
              </w:rPr>
              <w:t>技术改造（设备、研发生产条件）</w:t>
            </w:r>
          </w:p>
          <w:p>
            <w:pPr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sym w:font="Wingdings" w:char="00A8"/>
            </w:r>
            <w:r>
              <w:rPr>
                <w:rFonts w:hint="eastAsia" w:ascii="Times New Roman" w:hAnsi="Times New Roman" w:eastAsia="仿宋_GB2312" w:cs="仿宋_GB2312"/>
                <w:sz w:val="24"/>
              </w:rPr>
              <w:t>技术配套（技术、产品等配套合作）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9" w:hRule="atLeast"/>
          <w:jc w:val="center"/>
        </w:trPr>
        <w:tc>
          <w:tcPr>
            <w:tcW w:w="811" w:type="dxa"/>
            <w:vMerge w:val="continue"/>
            <w:noWrap w:val="0"/>
            <w:vAlign w:val="center"/>
          </w:tcPr>
          <w:p>
            <w:pPr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1425" w:type="dxa"/>
            <w:tcBorders>
              <w:left w:val="nil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需求</w:t>
            </w:r>
          </w:p>
          <w:p>
            <w:pPr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内容</w:t>
            </w:r>
          </w:p>
        </w:tc>
        <w:tc>
          <w:tcPr>
            <w:tcW w:w="6509" w:type="dxa"/>
            <w:gridSpan w:val="3"/>
            <w:tcBorders>
              <w:left w:val="nil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rPr>
                <w:rFonts w:ascii="Times New Roman" w:hAnsi="Times New Roman" w:eastAsia="仿宋_GB2312"/>
                <w:b/>
                <w:bCs/>
                <w:sz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4"/>
              </w:rPr>
              <w:t>需求解决的技术问题</w:t>
            </w:r>
          </w:p>
          <w:p>
            <w:pPr>
              <w:ind w:firstLine="480" w:firstLineChars="200"/>
              <w:rPr>
                <w:rFonts w:hint="eastAsia" w:ascii="Times New Roman" w:hAnsi="Times New Roman" w:eastAsia="仿宋_GB2312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lang w:val="en-US" w:eastAsia="zh-CN"/>
              </w:rPr>
              <w:t>研制多层多腔式限氧热解气化设备；研究还原阻断、二次裂解、团聚脱除、急速冷却及改性吸附二噁英脱除技术，推进二噁英超低排放，实现可燃垃圾清洁化处理及高效率转化。</w:t>
            </w:r>
          </w:p>
          <w:p>
            <w:pPr>
              <w:numPr>
                <w:ilvl w:val="0"/>
                <w:numId w:val="1"/>
              </w:numPr>
              <w:rPr>
                <w:rFonts w:ascii="Times New Roman" w:hAnsi="Times New Roman" w:eastAsia="仿宋_GB2312"/>
                <w:b/>
                <w:bCs/>
                <w:sz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4"/>
              </w:rPr>
              <w:t>技术需求提出背景及技术应用领域</w:t>
            </w:r>
          </w:p>
          <w:p>
            <w:pPr>
              <w:ind w:firstLine="480" w:firstLineChars="200"/>
              <w:rPr>
                <w:rFonts w:hint="eastAsia" w:ascii="Times New Roman" w:hAnsi="Times New Roman" w:eastAsia="仿宋_GB2312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lang w:val="en-US" w:eastAsia="zh-CN"/>
              </w:rPr>
              <w:t>可燃垃圾的处理目前主要以焚烧发电及供热为主，然而 在焚烧过程中会不可避免的产生一些二次污染物，包括烟尘、氯化氢、硫氧化物、氮氧化物、多环芳烃以及二噁英等。其中，二噁英由于其强烈的致突变性、致畸性、致癌性和难降解性等特点，被认为是目前已知毒性最强的化合物。所以如何消除或极大减少二噁英实现尾气清洁化排放，同时兼顾可燃垃圾高效化处理，己经成为制约可燃垃圾行业发展的关键性技术问题，我公司致力于资源环保利用行业发展，经深入研判提出该技术需求。</w:t>
            </w:r>
          </w:p>
          <w:p>
            <w:pPr>
              <w:ind w:firstLine="480" w:firstLineChars="200"/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lang w:val="en-US" w:eastAsia="zh-CN"/>
              </w:rPr>
              <w:t>技术应用领域主要是在可燃垃圾清洁高效热解气化联产设备的研发、生产方面，以及火力发电厂、资源回收再处理企业等用于消除二噁英等有害物质的行业，当前更注重环保，该技术应用前景广阔。</w:t>
            </w:r>
          </w:p>
          <w:p>
            <w:pPr>
              <w:numPr>
                <w:ilvl w:val="0"/>
                <w:numId w:val="1"/>
              </w:numPr>
              <w:rPr>
                <w:rFonts w:ascii="Times New Roman" w:hAnsi="Times New Roman" w:eastAsia="仿宋_GB2312"/>
                <w:b/>
                <w:bCs/>
                <w:sz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4"/>
              </w:rPr>
              <w:t>技术难点</w:t>
            </w:r>
          </w:p>
          <w:p>
            <w:pPr>
              <w:pStyle w:val="2"/>
              <w:adjustRightInd w:val="0"/>
              <w:snapToGrid w:val="0"/>
              <w:spacing w:after="0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1）</w:t>
            </w:r>
            <w:r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  <w:t>在垃圾燃烧时，如何防止铜、铝、铁氧化，如何最大化阻断断CuCl2等二噁英合成催化剂的合成途径。</w:t>
            </w:r>
          </w:p>
          <w:p>
            <w:pPr>
              <w:pStyle w:val="3"/>
              <w:adjustRightInd w:val="0"/>
              <w:snapToGrid w:val="0"/>
              <w:ind w:left="0" w:firstLine="0"/>
              <w:rPr>
                <w:rFonts w:hint="default" w:ascii="Times New Roman" w:hAnsi="Times New Roman" w:eastAsia="宋体"/>
                <w:szCs w:val="24"/>
                <w:lang w:val="en-US" w:eastAsia="zh-CN"/>
              </w:rPr>
            </w:pPr>
            <w:r>
              <w:rPr>
                <w:rFonts w:ascii="Times New Roman" w:hAnsi="Times New Roman" w:eastAsia="仿宋_GB2312"/>
                <w:szCs w:val="24"/>
              </w:rPr>
              <w:t>（</w:t>
            </w:r>
            <w:r>
              <w:rPr>
                <w:rFonts w:hint="eastAsia" w:ascii="Times New Roman" w:hAnsi="Times New Roman" w:eastAsia="仿宋_GB2312"/>
                <w:szCs w:val="24"/>
              </w:rPr>
              <w:t>2）</w:t>
            </w:r>
            <w:r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  <w:t>燃烧炉内使二噁英、焦油等污染物高温裂解后，如何防止其二次合成。</w:t>
            </w:r>
          </w:p>
          <w:p>
            <w:pPr>
              <w:numPr>
                <w:ilvl w:val="0"/>
                <w:numId w:val="1"/>
              </w:numPr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  <w:t>主要技术经济指标</w:t>
            </w:r>
            <w:r>
              <w:rPr>
                <w:rFonts w:hint="eastAsia" w:ascii="Times New Roman" w:hAnsi="Times New Roman" w:eastAsia="仿宋_GB2312"/>
                <w:b/>
                <w:bCs/>
                <w:kern w:val="0"/>
                <w:sz w:val="24"/>
              </w:rPr>
              <w:t xml:space="preserve"> </w:t>
            </w:r>
          </w:p>
          <w:p>
            <w:pPr>
              <w:pStyle w:val="2"/>
              <w:adjustRightInd w:val="0"/>
              <w:snapToGrid w:val="0"/>
              <w:spacing w:after="0"/>
              <w:rPr>
                <w:rFonts w:hint="default" w:ascii="Times New Roman" w:hAnsi="Times New Roman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kern w:val="0"/>
                <w:sz w:val="24"/>
                <w:szCs w:val="24"/>
              </w:rPr>
              <w:t>（1）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szCs w:val="24"/>
                <w:lang w:val="en-US" w:eastAsia="zh-CN"/>
              </w:rPr>
              <w:t>研究还原阻断、二次裂解、团聚脱除、急速冷却及改性吸附5项技术耦合的可燃垃圾热解气化二噁英脱除方案。</w:t>
            </w:r>
          </w:p>
          <w:p>
            <w:pPr>
              <w:pStyle w:val="2"/>
              <w:adjustRightInd w:val="0"/>
              <w:snapToGrid w:val="0"/>
              <w:spacing w:after="0"/>
              <w:rPr>
                <w:rFonts w:hint="default" w:ascii="Times New Roman" w:hAnsi="Times New Roman" w:eastAsia="仿宋_GB2312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eastAsia="仿宋_GB2312"/>
                <w:kern w:val="0"/>
                <w:sz w:val="24"/>
                <w:szCs w:val="24"/>
              </w:rPr>
              <w:t>（2）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szCs w:val="24"/>
                <w:lang w:val="en-US" w:eastAsia="zh-CN"/>
              </w:rPr>
              <w:t>该技术可实现20t/d生活垃圾处理能力，且运行成本低于1500元/天。</w:t>
            </w:r>
          </w:p>
          <w:p>
            <w:pPr>
              <w:numPr>
                <w:ilvl w:val="0"/>
                <w:numId w:val="1"/>
              </w:numPr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  <w:t>其他</w:t>
            </w:r>
          </w:p>
          <w:p>
            <w:pPr>
              <w:pStyle w:val="3"/>
              <w:ind w:left="0" w:firstLine="480" w:firstLineChars="200"/>
              <w:rPr>
                <w:rFonts w:hint="eastAsia"/>
              </w:rPr>
            </w:pPr>
            <w:r>
              <w:rPr>
                <w:rFonts w:ascii="Times New Roman" w:hAnsi="Times New Roman" w:eastAsia="仿宋_GB2312"/>
                <w:kern w:val="0"/>
                <w:szCs w:val="24"/>
              </w:rPr>
              <w:t>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atLeast"/>
          <w:jc w:val="center"/>
        </w:trPr>
        <w:tc>
          <w:tcPr>
            <w:tcW w:w="811" w:type="dxa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技术需求情况说明</w:t>
            </w:r>
          </w:p>
        </w:tc>
        <w:tc>
          <w:tcPr>
            <w:tcW w:w="1425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现有</w:t>
            </w:r>
          </w:p>
          <w:p>
            <w:pPr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基础</w:t>
            </w:r>
          </w:p>
          <w:p>
            <w:pPr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6509" w:type="dxa"/>
            <w:gridSpan w:val="3"/>
            <w:tcBorders>
              <w:left w:val="nil"/>
            </w:tcBorders>
            <w:noWrap w:val="0"/>
            <w:vAlign w:val="center"/>
          </w:tcPr>
          <w:p>
            <w:pPr>
              <w:numPr>
                <w:ilvl w:val="0"/>
                <w:numId w:val="2"/>
              </w:numPr>
              <w:rPr>
                <w:rFonts w:ascii="Times New Roman" w:hAnsi="Times New Roman" w:eastAsia="仿宋_GB2312"/>
                <w:b/>
                <w:bCs/>
                <w:sz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4"/>
              </w:rPr>
              <w:t>开展的工作</w:t>
            </w:r>
          </w:p>
          <w:p>
            <w:pPr>
              <w:ind w:firstLine="480" w:firstLineChars="200"/>
              <w:rPr>
                <w:rFonts w:hint="eastAsia" w:ascii="Times New Roman" w:hAnsi="Times New Roman" w:eastAsia="仿宋_GB2312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lang w:val="en-US" w:eastAsia="zh-CN"/>
              </w:rPr>
              <w:t>公司目前已经组建研发团队，已完成生物质热解试验系统、生物质热解冷却一体化系统的研发，长期从事固体废弃物能源化与资源化利用研究。</w:t>
            </w:r>
          </w:p>
          <w:p>
            <w:pPr>
              <w:numPr>
                <w:ilvl w:val="0"/>
                <w:numId w:val="2"/>
              </w:numPr>
              <w:rPr>
                <w:rFonts w:ascii="Times New Roman" w:hAnsi="Times New Roman" w:eastAsia="仿宋_GB2312"/>
                <w:b/>
                <w:bCs/>
                <w:sz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4"/>
              </w:rPr>
              <w:t>所处阶段</w:t>
            </w:r>
          </w:p>
          <w:p>
            <w:pPr>
              <w:pStyle w:val="2"/>
              <w:adjustRightInd w:val="0"/>
              <w:snapToGrid w:val="0"/>
              <w:spacing w:after="0"/>
              <w:ind w:firstLine="480" w:firstLineChars="200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项目处于样机研制生产阶段。</w:t>
            </w:r>
          </w:p>
          <w:p>
            <w:pPr>
              <w:numPr>
                <w:ilvl w:val="0"/>
                <w:numId w:val="2"/>
              </w:numPr>
              <w:rPr>
                <w:rFonts w:ascii="Times New Roman" w:hAnsi="Times New Roman" w:eastAsia="仿宋_GB2312"/>
                <w:b/>
                <w:bCs/>
                <w:sz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4"/>
              </w:rPr>
              <w:t>投入资金和人才</w:t>
            </w:r>
          </w:p>
          <w:p>
            <w:pPr>
              <w:pStyle w:val="2"/>
              <w:adjustRightInd w:val="0"/>
              <w:snapToGrid w:val="0"/>
              <w:spacing w:after="0"/>
              <w:ind w:firstLine="480" w:firstLineChars="200"/>
              <w:rPr>
                <w:rFonts w:hint="eastAsia" w:ascii="Times New Roman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kern w:val="0"/>
                <w:sz w:val="24"/>
                <w:szCs w:val="24"/>
                <w:lang w:val="en-US" w:eastAsia="zh-CN"/>
              </w:rPr>
              <w:t>目前已投入资金350万元，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szCs w:val="24"/>
              </w:rPr>
              <w:t>现有技术研发人员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szCs w:val="24"/>
                <w:lang w:val="en-US" w:eastAsia="zh-CN"/>
              </w:rPr>
              <w:t>4人，1人为硕士研究生，3人为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szCs w:val="24"/>
              </w:rPr>
              <w:t>本科，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szCs w:val="24"/>
                <w:lang w:val="en-US" w:eastAsia="zh-CN"/>
              </w:rPr>
              <w:t>高级职称1人，工程师1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szCs w:val="24"/>
              </w:rPr>
              <w:t>人。</w:t>
            </w:r>
          </w:p>
          <w:p>
            <w:pPr>
              <w:numPr>
                <w:ilvl w:val="0"/>
                <w:numId w:val="2"/>
              </w:numPr>
              <w:rPr>
                <w:rFonts w:ascii="Times New Roman" w:hAnsi="Times New Roman" w:eastAsia="仿宋_GB2312"/>
                <w:b/>
                <w:bCs/>
                <w:sz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4"/>
              </w:rPr>
              <w:t>仪器设备</w:t>
            </w:r>
          </w:p>
          <w:p>
            <w:pPr>
              <w:pStyle w:val="2"/>
              <w:adjustRightInd w:val="0"/>
              <w:snapToGrid w:val="0"/>
              <w:spacing w:after="0"/>
              <w:ind w:firstLine="480" w:firstLineChars="200"/>
              <w:rPr>
                <w:rFonts w:hint="eastAsia" w:ascii="Times New Roman" w:hAnsi="Times New Roman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kern w:val="0"/>
                <w:sz w:val="24"/>
                <w:szCs w:val="24"/>
                <w:lang w:val="en-US" w:eastAsia="zh-CN"/>
              </w:rPr>
              <w:t>公司配备生物质智能化 热解设备、热解气分析设备、管式炉等价值800余万元仪器设备。</w:t>
            </w:r>
          </w:p>
          <w:p>
            <w:pPr>
              <w:numPr>
                <w:ilvl w:val="0"/>
                <w:numId w:val="2"/>
              </w:numPr>
              <w:rPr>
                <w:rFonts w:ascii="Times New Roman" w:hAnsi="Times New Roman" w:eastAsia="仿宋_GB2312"/>
                <w:b/>
                <w:bCs/>
                <w:sz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4"/>
              </w:rPr>
              <w:t>生产条件</w:t>
            </w:r>
          </w:p>
          <w:p>
            <w:pPr>
              <w:pStyle w:val="2"/>
              <w:adjustRightInd w:val="0"/>
              <w:snapToGrid w:val="0"/>
              <w:spacing w:after="0"/>
              <w:ind w:firstLine="480" w:firstLineChars="200"/>
              <w:rPr>
                <w:rFonts w:hint="eastAsia" w:ascii="Times New Roman" w:hAnsi="Times New Roman" w:eastAsia="仿宋_GB2312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kern w:val="0"/>
                <w:sz w:val="24"/>
                <w:szCs w:val="24"/>
              </w:rPr>
              <w:t>公司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szCs w:val="24"/>
                <w:lang w:val="en-US" w:eastAsia="zh-CN"/>
              </w:rPr>
              <w:t>位于礼泉县阡礼路北，交通便利，有办公场地500平米，可用的生产空间3000平方米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szCs w:val="24"/>
              </w:rPr>
              <w:t>。</w:t>
            </w:r>
          </w:p>
          <w:p>
            <w:pPr>
              <w:numPr>
                <w:ilvl w:val="0"/>
                <w:numId w:val="2"/>
              </w:numPr>
              <w:rPr>
                <w:rFonts w:ascii="Times New Roman" w:hAnsi="Times New Roman" w:eastAsia="仿宋_GB2312"/>
                <w:b/>
                <w:bCs/>
                <w:sz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4"/>
              </w:rPr>
              <w:t>其他</w:t>
            </w:r>
          </w:p>
          <w:p>
            <w:pPr>
              <w:pStyle w:val="2"/>
              <w:adjustRightInd w:val="0"/>
              <w:snapToGrid w:val="0"/>
              <w:spacing w:after="0"/>
              <w:ind w:firstLine="480" w:firstLineChars="200"/>
              <w:rPr>
                <w:rFonts w:hint="eastAsia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  <w:szCs w:val="24"/>
              </w:rPr>
              <w:t>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0" w:hRule="atLeast"/>
          <w:jc w:val="center"/>
        </w:trPr>
        <w:tc>
          <w:tcPr>
            <w:tcW w:w="811" w:type="dxa"/>
            <w:vMerge w:val="restart"/>
            <w:tcBorders>
              <w:top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产</w:t>
            </w:r>
          </w:p>
          <w:p>
            <w:pPr>
              <w:jc w:val="center"/>
              <w:rPr>
                <w:rFonts w:hint="eastAsia" w:ascii="仿宋_GB2312" w:hAnsi="宋体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学</w:t>
            </w:r>
          </w:p>
          <w:p>
            <w:pPr>
              <w:jc w:val="center"/>
              <w:rPr>
                <w:rFonts w:hint="eastAsia" w:ascii="仿宋_GB2312" w:hAnsi="宋体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研</w:t>
            </w:r>
          </w:p>
          <w:p>
            <w:pPr>
              <w:jc w:val="center"/>
              <w:rPr>
                <w:rFonts w:hint="eastAsia" w:ascii="仿宋_GB2312" w:hAnsi="宋体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合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作</w:t>
            </w:r>
          </w:p>
          <w:p>
            <w:pPr>
              <w:jc w:val="center"/>
              <w:rPr>
                <w:rFonts w:hint="eastAsia" w:ascii="仿宋_GB2312" w:hAnsi="宋体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需</w:t>
            </w:r>
          </w:p>
          <w:p>
            <w:pPr>
              <w:jc w:val="center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求</w:t>
            </w:r>
          </w:p>
        </w:tc>
        <w:tc>
          <w:tcPr>
            <w:tcW w:w="1425" w:type="dxa"/>
            <w:tcBorders>
              <w:left w:val="nil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需求</w:t>
            </w:r>
          </w:p>
          <w:p>
            <w:pPr>
              <w:jc w:val="center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描述</w:t>
            </w:r>
          </w:p>
        </w:tc>
        <w:tc>
          <w:tcPr>
            <w:tcW w:w="6509" w:type="dxa"/>
            <w:gridSpan w:val="3"/>
            <w:tcBorders>
              <w:left w:val="nil"/>
            </w:tcBorders>
            <w:noWrap w:val="0"/>
            <w:vAlign w:val="center"/>
          </w:tcPr>
          <w:p>
            <w:pPr>
              <w:pStyle w:val="2"/>
              <w:adjustRightInd w:val="0"/>
              <w:snapToGrid w:val="0"/>
              <w:spacing w:after="0"/>
              <w:ind w:firstLine="480" w:firstLineChars="200"/>
              <w:rPr>
                <w:rFonts w:hint="eastAsia" w:ascii="Times New Roman" w:hAnsi="Times New Roman" w:eastAsia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/>
                <w:kern w:val="0"/>
                <w:sz w:val="24"/>
                <w:szCs w:val="24"/>
              </w:rPr>
              <w:t>希望与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szCs w:val="24"/>
                <w:lang w:val="en-US" w:eastAsia="zh-CN"/>
              </w:rPr>
              <w:t>省内的</w:t>
            </w:r>
            <w:r>
              <w:rPr>
                <w:rFonts w:ascii="Times New Roman" w:hAnsi="Times New Roman" w:eastAsia="仿宋_GB2312"/>
                <w:kern w:val="0"/>
                <w:sz w:val="24"/>
                <w:szCs w:val="24"/>
              </w:rPr>
              <w:t>高校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szCs w:val="24"/>
                <w:lang w:val="en-US" w:eastAsia="zh-CN"/>
              </w:rPr>
              <w:t>科研团队，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szCs w:val="24"/>
              </w:rPr>
              <w:t>开展产学研合作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szCs w:val="24"/>
                <w:lang w:eastAsia="zh-CN"/>
              </w:rPr>
              <w:t>。</w:t>
            </w:r>
          </w:p>
          <w:p>
            <w:pPr>
              <w:pStyle w:val="2"/>
              <w:adjustRightInd w:val="0"/>
              <w:snapToGrid w:val="0"/>
              <w:spacing w:after="0"/>
              <w:ind w:firstLine="480" w:firstLineChars="200"/>
              <w:rPr>
                <w:rFonts w:ascii="Times New Roman" w:hAnsi="Times New Roman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8" w:hRule="atLeast"/>
          <w:jc w:val="center"/>
        </w:trPr>
        <w:tc>
          <w:tcPr>
            <w:tcW w:w="811" w:type="dxa"/>
            <w:vMerge w:val="continue"/>
            <w:noWrap w:val="0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24"/>
              </w:rPr>
            </w:pPr>
          </w:p>
        </w:tc>
        <w:tc>
          <w:tcPr>
            <w:tcW w:w="1425" w:type="dxa"/>
            <w:tcBorders>
              <w:left w:val="nil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合作</w:t>
            </w:r>
          </w:p>
          <w:p>
            <w:pPr>
              <w:jc w:val="center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方式</w:t>
            </w:r>
          </w:p>
        </w:tc>
        <w:tc>
          <w:tcPr>
            <w:tcW w:w="6509" w:type="dxa"/>
            <w:gridSpan w:val="3"/>
            <w:tcBorders>
              <w:left w:val="nil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ascii="仿宋_GB2312" w:hAnsi="宋体" w:eastAsia="仿宋_GB2312" w:cs="仿宋_GB2312"/>
                <w:sz w:val="24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sz w:val="24"/>
                <w:lang w:eastAsia="zh-CN"/>
              </w:rPr>
              <w:t>□</w:t>
            </w:r>
            <w:r>
              <w:rPr>
                <w:rFonts w:hint="eastAsia" w:ascii="仿宋_GB2312" w:hAnsi="宋体" w:eastAsia="仿宋_GB2312" w:cs="仿宋_GB2312"/>
                <w:sz w:val="24"/>
              </w:rPr>
              <w:t>技术转让</w:t>
            </w:r>
            <w:r>
              <w:rPr>
                <w:rFonts w:ascii="仿宋_GB2312" w:hAnsi="宋体" w:eastAsia="仿宋_GB2312" w:cs="仿宋_GB2312"/>
                <w:sz w:val="24"/>
              </w:rPr>
              <w:t xml:space="preserve">    </w:t>
            </w:r>
            <w:r>
              <w:rPr>
                <w:rFonts w:hint="eastAsia" w:ascii="仿宋_GB2312" w:hAnsi="宋体" w:eastAsia="仿宋_GB2312" w:cs="仿宋_GB2312"/>
                <w:sz w:val="24"/>
                <w:lang w:eastAsia="zh-CN"/>
              </w:rPr>
              <w:t>☑</w:t>
            </w:r>
            <w:r>
              <w:rPr>
                <w:rFonts w:hint="eastAsia" w:ascii="仿宋_GB2312" w:hAnsi="宋体" w:eastAsia="仿宋_GB2312" w:cs="仿宋_GB2312"/>
                <w:sz w:val="24"/>
              </w:rPr>
              <w:t>技术入股</w:t>
            </w:r>
            <w:r>
              <w:rPr>
                <w:rFonts w:ascii="仿宋_GB2312" w:hAnsi="宋体" w:eastAsia="仿宋_GB2312" w:cs="仿宋_GB2312"/>
                <w:sz w:val="24"/>
              </w:rPr>
              <w:t xml:space="preserve">    </w:t>
            </w:r>
            <w:r>
              <w:rPr>
                <w:rFonts w:hint="eastAsia" w:ascii="仿宋_GB2312" w:hAnsi="宋体" w:eastAsia="仿宋_GB2312" w:cs="仿宋_GB2312"/>
                <w:sz w:val="24"/>
                <w:lang w:eastAsia="zh-CN"/>
              </w:rPr>
              <w:t>☑</w:t>
            </w:r>
            <w:r>
              <w:rPr>
                <w:rFonts w:hint="eastAsia" w:ascii="仿宋_GB2312" w:hAnsi="宋体" w:eastAsia="仿宋_GB2312" w:cs="仿宋_GB2312"/>
                <w:sz w:val="24"/>
              </w:rPr>
              <w:t>联合开发</w:t>
            </w:r>
            <w:r>
              <w:rPr>
                <w:rFonts w:ascii="仿宋_GB2312" w:hAnsi="宋体" w:eastAsia="仿宋_GB2312" w:cs="仿宋_GB2312"/>
                <w:sz w:val="24"/>
              </w:rPr>
              <w:t xml:space="preserve">   </w:t>
            </w:r>
            <w:r>
              <w:rPr>
                <w:rFonts w:hint="eastAsia" w:ascii="仿宋_GB2312" w:hAnsi="宋体" w:eastAsia="仿宋_GB2312" w:cs="仿宋_GB2312"/>
                <w:sz w:val="24"/>
              </w:rPr>
              <w:t>□委托研发</w:t>
            </w:r>
            <w:r>
              <w:rPr>
                <w:rFonts w:ascii="仿宋_GB2312" w:hAnsi="宋体" w:eastAsia="仿宋_GB2312" w:cs="仿宋_GB2312"/>
                <w:sz w:val="24"/>
              </w:rPr>
              <w:t xml:space="preserve"> </w:t>
            </w:r>
          </w:p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ascii="仿宋_GB2312" w:hAnsi="宋体" w:eastAsia="仿宋_GB2312" w:cs="仿宋_GB2312"/>
                <w:sz w:val="24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sz w:val="24"/>
                <w:lang w:eastAsia="zh-CN"/>
              </w:rPr>
              <w:t>☑</w:t>
            </w:r>
            <w:r>
              <w:rPr>
                <w:rFonts w:hint="eastAsia" w:ascii="仿宋_GB2312" w:hAnsi="宋体" w:eastAsia="仿宋_GB2312" w:cs="仿宋_GB2312"/>
                <w:sz w:val="24"/>
              </w:rPr>
              <w:t>委托团队、专家长期技术服务</w:t>
            </w:r>
            <w:r>
              <w:rPr>
                <w:rFonts w:ascii="仿宋_GB2312" w:hAnsi="宋体" w:eastAsia="仿宋_GB2312" w:cs="仿宋_GB2312"/>
                <w:sz w:val="24"/>
              </w:rPr>
              <w:t xml:space="preserve"> </w:t>
            </w:r>
            <w:r>
              <w:rPr>
                <w:rFonts w:hint="eastAsia" w:ascii="Times New Roman" w:hAnsi="Times New Roman" w:eastAsia="仿宋_GB2312" w:cs="仿宋_GB2312"/>
                <w:sz w:val="24"/>
              </w:rPr>
              <w:sym w:font="Wingdings" w:char="00FE"/>
            </w:r>
            <w:r>
              <w:rPr>
                <w:rFonts w:hint="eastAsia" w:ascii="仿宋_GB2312" w:hAnsi="宋体" w:eastAsia="仿宋_GB2312" w:cs="仿宋_GB2312"/>
                <w:sz w:val="24"/>
              </w:rPr>
              <w:t>共建新研发、生产实体</w:t>
            </w:r>
          </w:p>
        </w:tc>
      </w:tr>
    </w:tbl>
    <w:p>
      <w:pPr>
        <w:pStyle w:val="4"/>
      </w:pPr>
    </w:p>
    <w:p/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5ACF6EF"/>
    <w:multiLevelType w:val="singleLevel"/>
    <w:tmpl w:val="A5ACF6E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7246CC56"/>
    <w:multiLevelType w:val="singleLevel"/>
    <w:tmpl w:val="7246CC56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 w:ascii="Times New Roman" w:hAnsi="Times New Roman"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k2MzkzNmYyOWIyMDkzODJiNDg1NTQ2MThmYjE2ODcifQ=="/>
  </w:docVars>
  <w:rsids>
    <w:rsidRoot w:val="00000000"/>
    <w:rsid w:val="09E35B94"/>
    <w:rsid w:val="0BCC4C94"/>
    <w:rsid w:val="233F6F76"/>
    <w:rsid w:val="2BC77681"/>
    <w:rsid w:val="39B66B7C"/>
    <w:rsid w:val="4C9F7EC0"/>
    <w:rsid w:val="525E0172"/>
    <w:rsid w:val="606B4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qFormat/>
    <w:uiPriority w:val="9"/>
    <w:pPr>
      <w:spacing w:beforeAutospacing="1" w:afterAutospacing="1"/>
      <w:jc w:val="left"/>
      <w:outlineLvl w:val="2"/>
    </w:pPr>
    <w:rPr>
      <w:rFonts w:hint="eastAsia" w:ascii="宋体" w:hAnsi="宋体" w:cs="Times New Roman"/>
      <w:b/>
      <w:bCs/>
      <w:kern w:val="0"/>
      <w:sz w:val="27"/>
      <w:szCs w:val="27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next w:val="3"/>
    <w:unhideWhenUsed/>
    <w:qFormat/>
    <w:uiPriority w:val="99"/>
    <w:pPr>
      <w:spacing w:after="120"/>
    </w:pPr>
    <w:rPr>
      <w:sz w:val="16"/>
      <w:szCs w:val="16"/>
    </w:rPr>
  </w:style>
  <w:style w:type="paragraph" w:customStyle="1" w:styleId="3">
    <w:name w:val="Char1"/>
    <w:basedOn w:val="1"/>
    <w:qFormat/>
    <w:uiPriority w:val="0"/>
    <w:pPr>
      <w:ind w:left="840" w:hanging="420"/>
    </w:pPr>
    <w:rPr>
      <w:sz w:val="24"/>
      <w:szCs w:val="30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8">
    <w:name w:val="List Paragraph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1060</Words>
  <Characters>1099</Characters>
  <Lines>0</Lines>
  <Paragraphs>0</Paragraphs>
  <TotalTime>0</TotalTime>
  <ScaleCrop>false</ScaleCrop>
  <LinksUpToDate>false</LinksUpToDate>
  <CharactersWithSpaces>1117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2023-08-16T00:59:00Z</dcterms:created>
  <dc:creator>86177</dc:creator>
  <cp:lastModifiedBy>Bible</cp:lastModifiedBy>
  <dcterms:modified xsi:type="dcterms:W3CDTF">2023-09-06T04:58:48Z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D113554B9A2945C7ADCB779556F1E18A_12</vt:lpwstr>
  </property>
</Properties>
</file>