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陕西省202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2B2B2B"/>
          <w:sz w:val="44"/>
          <w:szCs w:val="44"/>
        </w:rPr>
        <w:t>批异地搬迁高新技术企业名单</w:t>
      </w:r>
    </w:p>
    <w:tbl>
      <w:tblPr>
        <w:tblStyle w:val="7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33"/>
        <w:gridCol w:w="2857"/>
        <w:gridCol w:w="2985"/>
        <w:gridCol w:w="2655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现注册地址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原注册地址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高企证书编号</w:t>
            </w:r>
          </w:p>
        </w:tc>
        <w:tc>
          <w:tcPr>
            <w:tcW w:w="2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中航捷锐（西安）光电技术有限公司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陕西省西安市沣东新城西周大道3360号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北京市密云区兴源街12号经济开发区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GR202011006464</w:t>
            </w:r>
          </w:p>
        </w:tc>
        <w:tc>
          <w:tcPr>
            <w:tcW w:w="2758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2020年12月2日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8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33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陕西田品科技有限公司</w:t>
            </w:r>
          </w:p>
        </w:tc>
        <w:tc>
          <w:tcPr>
            <w:tcW w:w="2857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陕西省延安市高新技术产业开发区姚店镇孵化基地A座二层众创空间224室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中国（四川）自由贸易试验区成都高新区益州大道中段1858号G5栋3层</w:t>
            </w:r>
          </w:p>
        </w:tc>
        <w:tc>
          <w:tcPr>
            <w:tcW w:w="2655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222222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GR202051002894</w:t>
            </w:r>
          </w:p>
        </w:tc>
        <w:tc>
          <w:tcPr>
            <w:tcW w:w="2758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C48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2020年12月3日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32D23EBC"/>
    <w:rsid w:val="32D2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2023-09-19T01:20:00Z</dcterms:created>
  <dc:creator>苗宏雄</dc:creator>
  <cp:lastModifiedBy>苗宏雄</cp:lastModifiedBy>
  <dcterms:modified xsi:type="dcterms:W3CDTF">2023-09-19T01:20:40Z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EC746ED4CB574D069F37BE2A6ECFE373_11</vt:lpwstr>
  </property>
</Properties>
</file>