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BatangChe" w:hAnsi="BatangChe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BatangChe" w:hAnsi="BatangChe" w:eastAsia="方正小标宋简体" w:cs="方正小标宋简体"/>
          <w:kern w:val="2"/>
          <w:sz w:val="44"/>
          <w:szCs w:val="44"/>
          <w:lang w:val="en-US" w:eastAsia="zh-CN" w:bidi="ar-SA"/>
        </w:rPr>
        <w:t>培训回执表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BatangChe" w:hAnsi="BatangChe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         （盖章）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254"/>
        <w:gridCol w:w="953"/>
        <w:gridCol w:w="2945"/>
        <w:gridCol w:w="1254"/>
        <w:gridCol w:w="1682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BatangChe" w:hAnsi="BatangChe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BatangChe" w:hAnsi="BatangChe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Che">
    <w:altName w:val="Courier New"/>
    <w:panose1 w:val="02030609000101010101"/>
    <w:charset w:val="00"/>
    <w:family w:val="modern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409C7"/>
    <w:rsid w:val="217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2022-08-11T01:45:00Z</dcterms:created>
  <dc:creator>白东海</dc:creator>
  <cp:lastModifiedBy>白东海</cp:lastModifiedBy>
  <dcterms:modified xsi:type="dcterms:W3CDTF">2022-08-11T01:48:53Z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