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增材制造企业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技术需求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征集表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line="20" w:lineRule="exact"/>
        <w:ind w:firstLine="536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0"/>
        <w:gridCol w:w="627"/>
        <w:gridCol w:w="671"/>
        <w:gridCol w:w="966"/>
        <w:gridCol w:w="660"/>
        <w:gridCol w:w="975"/>
        <w:gridCol w:w="519"/>
        <w:gridCol w:w="1197"/>
        <w:gridCol w:w="363"/>
        <w:gridCol w:w="20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91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所属行业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细分方向</w:t>
            </w:r>
          </w:p>
        </w:tc>
        <w:tc>
          <w:tcPr>
            <w:tcW w:w="243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8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425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8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企业联系人</w:t>
            </w:r>
          </w:p>
        </w:tc>
        <w:tc>
          <w:tcPr>
            <w:tcW w:w="67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20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21" w:hRule="atLeast"/>
          <w:jc w:val="center"/>
        </w:trPr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技术难题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4"/>
                <w:szCs w:val="24"/>
              </w:rPr>
              <w:t>概述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</w:rPr>
              <w:t>（限500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</w:rPr>
              <w:t>）</w:t>
            </w:r>
          </w:p>
        </w:tc>
        <w:tc>
          <w:tcPr>
            <w:tcW w:w="8052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（描述具体技术难题或发展瓶颈，要求内容具体、指向清晰；简述技术攻关的方向，说明期望通过科技创新解决的技术壁垒；说明是否行业共性“卡脖子”技术及现实应用场景）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8" w:hRule="atLeast"/>
          <w:jc w:val="center"/>
        </w:trPr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技术攻关希望达到的预期目标（限500字以内）</w:t>
            </w:r>
          </w:p>
        </w:tc>
        <w:tc>
          <w:tcPr>
            <w:tcW w:w="8052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目前的技术指标参数，攻关后要求达到的技术参数；如属于填补空白的“卡脖子”技术可不填目前的技术指标参数；说明新原理、新产品、新技术、关键部件等目标技术参数实现条件，如自然条件、工况环境、成本约束、行业监管等技术应用的边界条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4" w:hRule="atLeast"/>
          <w:jc w:val="center"/>
        </w:trPr>
        <w:tc>
          <w:tcPr>
            <w:tcW w:w="18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时限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及对揭榜方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7425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18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研发资金投入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预测</w:t>
            </w:r>
          </w:p>
        </w:tc>
        <w:tc>
          <w:tcPr>
            <w:tcW w:w="7425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研发总预算     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其中：技术需求方提供资金     万元，财政资金        万元（不超过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00万元），技术攻关单位自筹资金     万元。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5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2021-08-20T02:04:08Z</dcterms:created>
  <dc:creator>admin</dc:creator>
  <cp:lastModifiedBy>未知</cp:lastModifiedBy>
  <dcterms:modified xsi:type="dcterms:W3CDTF">2021-08-20T02:04:13Z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